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7B6A" w14:textId="4FC84EDB" w:rsidR="000261A1" w:rsidRDefault="000261A1" w:rsidP="000261A1">
      <w:pPr>
        <w:tabs>
          <w:tab w:val="left" w:pos="5964"/>
        </w:tabs>
        <w:rPr>
          <w:rFonts w:ascii="Century Gothic" w:hAnsi="Century Gothic"/>
        </w:rPr>
      </w:pPr>
    </w:p>
    <w:p w14:paraId="52861241" w14:textId="7C773AA0" w:rsidR="002D2972" w:rsidRPr="002D2972" w:rsidRDefault="002D2972" w:rsidP="002D2972">
      <w:pPr>
        <w:rPr>
          <w:rFonts w:ascii="Century Gothic" w:hAnsi="Century Gothic"/>
        </w:rPr>
      </w:pPr>
    </w:p>
    <w:p w14:paraId="2D6E86BD" w14:textId="0433CA52" w:rsidR="002D2972" w:rsidRDefault="002D2972" w:rsidP="002D2972">
      <w:pPr>
        <w:rPr>
          <w:rFonts w:ascii="Century Gothic" w:hAnsi="Century Gothic"/>
        </w:rPr>
      </w:pPr>
    </w:p>
    <w:p w14:paraId="36F7067F" w14:textId="21B789BC" w:rsidR="00AA549E" w:rsidRPr="00AA549E" w:rsidRDefault="00AA549E" w:rsidP="002D297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A549E">
        <w:rPr>
          <w:rFonts w:ascii="Arial" w:hAnsi="Arial" w:cs="Arial"/>
          <w:b/>
          <w:bCs/>
          <w:sz w:val="20"/>
          <w:szCs w:val="20"/>
          <w:u w:val="single"/>
        </w:rPr>
        <w:t>Notes:</w:t>
      </w:r>
    </w:p>
    <w:p w14:paraId="69CE6E53" w14:textId="11E5C659" w:rsidR="002D2972" w:rsidRDefault="002D2972" w:rsidP="002D29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4217E">
        <w:rPr>
          <w:rFonts w:ascii="Arial" w:hAnsi="Arial" w:cs="Arial"/>
          <w:sz w:val="20"/>
          <w:szCs w:val="20"/>
        </w:rPr>
        <w:t xml:space="preserve">his risk assessment is based on the official UK Government guidance available at </w:t>
      </w:r>
      <w:hyperlink r:id="rId8" w:history="1">
        <w:r w:rsidRPr="00D4217E">
          <w:rPr>
            <w:rStyle w:val="Hyperlink"/>
            <w:rFonts w:ascii="Arial" w:hAnsi="Arial" w:cs="Arial"/>
            <w:sz w:val="20"/>
            <w:szCs w:val="20"/>
          </w:rPr>
          <w:t>https://www.gov.uk/coronavirus</w:t>
        </w:r>
      </w:hyperlink>
      <w:r w:rsidRPr="00D4217E">
        <w:rPr>
          <w:rFonts w:ascii="Arial" w:hAnsi="Arial" w:cs="Arial"/>
          <w:sz w:val="20"/>
          <w:szCs w:val="20"/>
        </w:rPr>
        <w:t xml:space="preserve"> and HSE guidance </w:t>
      </w:r>
      <w:hyperlink r:id="rId9" w:history="1">
        <w:r w:rsidRPr="00D4217E">
          <w:rPr>
            <w:rStyle w:val="Hyperlink"/>
            <w:rFonts w:ascii="Arial" w:hAnsi="Arial" w:cs="Arial"/>
            <w:sz w:val="20"/>
            <w:szCs w:val="20"/>
          </w:rPr>
          <w:t>www.hse.gov.uk/news/coronavirus.htm</w:t>
        </w:r>
      </w:hyperlink>
      <w:r w:rsidRPr="00D4217E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D4217E">
          <w:rPr>
            <w:rStyle w:val="Hyperlink"/>
            <w:rFonts w:ascii="Arial" w:hAnsi="Arial" w:cs="Arial"/>
            <w:sz w:val="20"/>
            <w:szCs w:val="20"/>
          </w:rPr>
          <w:t>www.hse.gov.uk/news/working-safely-during-coronavirus-outbreak.htm</w:t>
        </w:r>
      </w:hyperlink>
      <w:r w:rsidRPr="00D4217E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D4217E">
        <w:rPr>
          <w:rFonts w:ascii="Arial" w:hAnsi="Arial" w:cs="Arial"/>
          <w:sz w:val="20"/>
          <w:szCs w:val="20"/>
        </w:rPr>
        <w:t>that was current at the time of writing</w:t>
      </w:r>
      <w:r>
        <w:rPr>
          <w:rFonts w:ascii="Arial" w:hAnsi="Arial" w:cs="Arial"/>
          <w:sz w:val="20"/>
          <w:szCs w:val="20"/>
        </w:rPr>
        <w:t xml:space="preserve">. </w:t>
      </w:r>
      <w:r w:rsidRPr="00D4217E">
        <w:rPr>
          <w:rFonts w:ascii="Arial" w:hAnsi="Arial" w:cs="Arial"/>
          <w:sz w:val="20"/>
          <w:szCs w:val="20"/>
        </w:rPr>
        <w:t>Official guidance wi</w:t>
      </w:r>
      <w:r>
        <w:rPr>
          <w:rFonts w:ascii="Arial" w:hAnsi="Arial" w:cs="Arial"/>
          <w:sz w:val="20"/>
          <w:szCs w:val="20"/>
        </w:rPr>
        <w:t>l</w:t>
      </w:r>
      <w:r w:rsidRPr="00D4217E">
        <w:rPr>
          <w:rFonts w:ascii="Arial" w:hAnsi="Arial" w:cs="Arial"/>
          <w:sz w:val="20"/>
          <w:szCs w:val="20"/>
        </w:rPr>
        <w:t>l be regularly reviewed in case the control measures we have implemented need adapting.</w:t>
      </w:r>
    </w:p>
    <w:p w14:paraId="799757AF" w14:textId="4BEB9675" w:rsidR="002D2972" w:rsidRDefault="002D2972" w:rsidP="002D29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Wood Centre for Innovation has its own risk assessment for the building that the Science Oxford Centre procedures comply with. There is a separate risk assessment for school visits to the Science Oxford Centre.</w:t>
      </w:r>
    </w:p>
    <w:p w14:paraId="34149085" w14:textId="5662A53A" w:rsidR="00AA549E" w:rsidRDefault="00AC7C02" w:rsidP="00AA54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time of writing this risk assessment </w:t>
      </w:r>
      <w:r w:rsidR="00AA549E">
        <w:rPr>
          <w:rFonts w:ascii="Arial" w:hAnsi="Arial" w:cs="Arial"/>
          <w:sz w:val="20"/>
          <w:szCs w:val="20"/>
        </w:rPr>
        <w:t>there was an average of 3 cases per 100’000 people in Oxford. Therefore, considering the additional steps we are taking to keep out staff and visitors safe, our likelihood rating is 1 or ’unlikely’.</w:t>
      </w:r>
    </w:p>
    <w:p w14:paraId="21698FC4" w14:textId="69BD290B" w:rsidR="00AA549E" w:rsidRDefault="00AA549E" w:rsidP="00AA549E">
      <w:pPr>
        <w:jc w:val="center"/>
        <w:rPr>
          <w:rFonts w:ascii="Arial" w:hAnsi="Arial" w:cs="Arial"/>
          <w:sz w:val="20"/>
          <w:szCs w:val="20"/>
        </w:rPr>
      </w:pPr>
    </w:p>
    <w:p w14:paraId="18DC78D8" w14:textId="5D14B4E2" w:rsidR="00AA549E" w:rsidRDefault="00AA549E" w:rsidP="00AA549E">
      <w:pPr>
        <w:jc w:val="center"/>
        <w:rPr>
          <w:rFonts w:ascii="Arial" w:hAnsi="Arial" w:cs="Arial"/>
          <w:sz w:val="20"/>
          <w:szCs w:val="20"/>
        </w:rPr>
      </w:pPr>
    </w:p>
    <w:p w14:paraId="7E6C27B3" w14:textId="163C09EC" w:rsidR="00AA549E" w:rsidRDefault="00AA549E" w:rsidP="00AA549E">
      <w:pPr>
        <w:jc w:val="center"/>
        <w:rPr>
          <w:rFonts w:ascii="Arial" w:hAnsi="Arial" w:cs="Arial"/>
          <w:sz w:val="20"/>
          <w:szCs w:val="20"/>
        </w:rPr>
      </w:pPr>
    </w:p>
    <w:p w14:paraId="18555B02" w14:textId="1D911F04" w:rsidR="00AA549E" w:rsidRDefault="00AA549E" w:rsidP="00AA549E">
      <w:pPr>
        <w:jc w:val="center"/>
        <w:rPr>
          <w:rFonts w:ascii="Arial" w:hAnsi="Arial" w:cs="Arial"/>
          <w:sz w:val="20"/>
          <w:szCs w:val="20"/>
        </w:rPr>
      </w:pPr>
    </w:p>
    <w:p w14:paraId="635F9446" w14:textId="64C827A1" w:rsidR="00AA549E" w:rsidRDefault="00AA549E" w:rsidP="00AA549E">
      <w:pPr>
        <w:jc w:val="center"/>
        <w:rPr>
          <w:rFonts w:ascii="Arial" w:hAnsi="Arial" w:cs="Arial"/>
          <w:sz w:val="20"/>
          <w:szCs w:val="20"/>
        </w:rPr>
      </w:pPr>
    </w:p>
    <w:p w14:paraId="6DA54266" w14:textId="77777777" w:rsidR="00AA549E" w:rsidRPr="00AA549E" w:rsidRDefault="00AA549E" w:rsidP="00AA549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3331"/>
        <w:gridCol w:w="9068"/>
        <w:gridCol w:w="474"/>
        <w:gridCol w:w="474"/>
        <w:gridCol w:w="557"/>
      </w:tblGrid>
      <w:tr w:rsidR="00B36A2E" w:rsidRPr="00B36A2E" w14:paraId="03B391A7" w14:textId="77777777" w:rsidTr="00AA549E">
        <w:trPr>
          <w:cantSplit/>
          <w:trHeight w:val="551"/>
        </w:trPr>
        <w:tc>
          <w:tcPr>
            <w:tcW w:w="138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7781EC" w14:textId="61693D62" w:rsidR="005A7DE6" w:rsidRPr="005A7DE6" w:rsidRDefault="00B36A2E" w:rsidP="00AA549E">
            <w:pPr>
              <w:pStyle w:val="Header"/>
              <w:rPr>
                <w:b/>
                <w:sz w:val="2"/>
                <w:szCs w:val="20"/>
              </w:rPr>
            </w:pPr>
            <w:r>
              <w:rPr>
                <w:b/>
                <w:sz w:val="72"/>
                <w:szCs w:val="36"/>
              </w:rPr>
              <w:lastRenderedPageBreak/>
              <w:t>Science Oxford Risk Assessment</w:t>
            </w:r>
          </w:p>
          <w:p w14:paraId="7CC010F9" w14:textId="77777777" w:rsidR="005A7DE6" w:rsidRPr="005A7DE6" w:rsidRDefault="005A7DE6" w:rsidP="00AA549E">
            <w:pPr>
              <w:pStyle w:val="Head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extDirection w:val="btLr"/>
          </w:tcPr>
          <w:p w14:paraId="6F582347" w14:textId="77777777" w:rsidR="00B36A2E" w:rsidRPr="00B36A2E" w:rsidRDefault="00B36A2E" w:rsidP="00AA549E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Severity</w:t>
            </w:r>
          </w:p>
        </w:tc>
        <w:tc>
          <w:tcPr>
            <w:tcW w:w="474" w:type="dxa"/>
            <w:vMerge w:val="restart"/>
            <w:textDirection w:val="btLr"/>
          </w:tcPr>
          <w:p w14:paraId="234E60B1" w14:textId="77777777" w:rsidR="00B36A2E" w:rsidRPr="00B36A2E" w:rsidRDefault="00B36A2E" w:rsidP="00AA549E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Likelihood</w:t>
            </w:r>
          </w:p>
        </w:tc>
        <w:tc>
          <w:tcPr>
            <w:tcW w:w="557" w:type="dxa"/>
            <w:vMerge w:val="restart"/>
            <w:textDirection w:val="btLr"/>
          </w:tcPr>
          <w:p w14:paraId="10E0308F" w14:textId="77777777" w:rsidR="00B36A2E" w:rsidRPr="00B36A2E" w:rsidRDefault="00B36A2E" w:rsidP="00AA549E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Risk Rating*</w:t>
            </w:r>
          </w:p>
        </w:tc>
      </w:tr>
      <w:tr w:rsidR="00B36A2E" w:rsidRPr="008F6425" w14:paraId="1E3AC51E" w14:textId="77777777" w:rsidTr="00AA549E">
        <w:trPr>
          <w:cantSplit/>
          <w:trHeight w:val="132"/>
        </w:trPr>
        <w:tc>
          <w:tcPr>
            <w:tcW w:w="1484" w:type="dxa"/>
          </w:tcPr>
          <w:p w14:paraId="1AE773E2" w14:textId="77777777" w:rsidR="00B36A2E" w:rsidRPr="00B36A2E" w:rsidRDefault="00B36A2E" w:rsidP="00AA549E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Hazard</w:t>
            </w:r>
          </w:p>
        </w:tc>
        <w:tc>
          <w:tcPr>
            <w:tcW w:w="3331" w:type="dxa"/>
          </w:tcPr>
          <w:p w14:paraId="3C557221" w14:textId="77777777" w:rsidR="00B36A2E" w:rsidRPr="00B36A2E" w:rsidRDefault="00B36A2E" w:rsidP="00AA549E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Risk</w:t>
            </w:r>
          </w:p>
        </w:tc>
        <w:tc>
          <w:tcPr>
            <w:tcW w:w="9068" w:type="dxa"/>
          </w:tcPr>
          <w:p w14:paraId="35082B57" w14:textId="77777777" w:rsidR="00B36A2E" w:rsidRPr="00B36A2E" w:rsidRDefault="00B36A2E" w:rsidP="00AA549E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Control Measures</w:t>
            </w:r>
          </w:p>
        </w:tc>
        <w:tc>
          <w:tcPr>
            <w:tcW w:w="474" w:type="dxa"/>
            <w:vMerge/>
            <w:textDirection w:val="btLr"/>
          </w:tcPr>
          <w:p w14:paraId="157369CC" w14:textId="77777777" w:rsidR="00B36A2E" w:rsidRPr="008B72FE" w:rsidRDefault="00B36A2E" w:rsidP="00AA549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74" w:type="dxa"/>
            <w:vMerge/>
            <w:textDirection w:val="btLr"/>
          </w:tcPr>
          <w:p w14:paraId="07AE6BA3" w14:textId="77777777" w:rsidR="00B36A2E" w:rsidRPr="008B72FE" w:rsidRDefault="00B36A2E" w:rsidP="00AA549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57" w:type="dxa"/>
            <w:vMerge/>
            <w:textDirection w:val="btLr"/>
          </w:tcPr>
          <w:p w14:paraId="49640C5A" w14:textId="77777777" w:rsidR="00B36A2E" w:rsidRPr="008B72FE" w:rsidRDefault="00B36A2E" w:rsidP="00AA549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AC7C02" w:rsidRPr="008F6425" w14:paraId="1B59EF7A" w14:textId="77777777" w:rsidTr="00AA549E">
        <w:trPr>
          <w:trHeight w:val="1011"/>
        </w:trPr>
        <w:tc>
          <w:tcPr>
            <w:tcW w:w="1484" w:type="dxa"/>
            <w:vMerge w:val="restart"/>
            <w:vAlign w:val="center"/>
          </w:tcPr>
          <w:p w14:paraId="4FA8E35E" w14:textId="032D1ACF" w:rsidR="00AC7C02" w:rsidRPr="000261A1" w:rsidRDefault="00AC7C02" w:rsidP="00AA549E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Getting or spreading coronavirus </w:t>
            </w:r>
          </w:p>
        </w:tc>
        <w:tc>
          <w:tcPr>
            <w:tcW w:w="3331" w:type="dxa"/>
            <w:vAlign w:val="center"/>
          </w:tcPr>
          <w:p w14:paraId="554A5F63" w14:textId="710B833B" w:rsidR="00AC7C02" w:rsidRPr="000261A1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Getting or spreading coronavirus from other visitors and staff </w:t>
            </w:r>
          </w:p>
          <w:p w14:paraId="0DA67291" w14:textId="05DC080B" w:rsidR="00AC7C02" w:rsidRPr="000261A1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68" w:type="dxa"/>
            <w:vAlign w:val="center"/>
          </w:tcPr>
          <w:p w14:paraId="5A831645" w14:textId="77777777" w:rsidR="00AC7C02" w:rsidRPr="000261A1" w:rsidRDefault="00AC7C02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1D2538D" w14:textId="24DD57EE" w:rsidR="00AC7C02" w:rsidRPr="000261A1" w:rsidRDefault="00AC7C02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61A1">
              <w:rPr>
                <w:rFonts w:ascii="Century Gothic" w:hAnsi="Century Gothic"/>
                <w:b/>
                <w:bCs/>
                <w:sz w:val="20"/>
                <w:szCs w:val="20"/>
              </w:rPr>
              <w:t>Handwashing:</w:t>
            </w:r>
          </w:p>
          <w:p w14:paraId="05F0EC95" w14:textId="7EF702E3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Handwashing facilities are available in all toilets available to the public. There is also a hand washing station outside. </w:t>
            </w:r>
          </w:p>
          <w:p w14:paraId="3991EA33" w14:textId="1E87BF68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Visitors and staff are required to use the provided hand sanitizer upon entry and re-entry to the Science Oxford Centre. Hand sanitizing statins are placed at regular intervals around the building. </w:t>
            </w:r>
          </w:p>
          <w:p w14:paraId="4FFCB03F" w14:textId="2DACF87C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Signs are displayed to remind visitors to wash their hands and how to do so properly.</w:t>
            </w:r>
          </w:p>
          <w:p w14:paraId="5FC572E1" w14:textId="77777777" w:rsidR="00AC7C02" w:rsidRPr="000261A1" w:rsidRDefault="00AC7C02" w:rsidP="00AA549E">
            <w:pPr>
              <w:pStyle w:val="Default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32465405" w14:textId="75FC2392" w:rsidR="00AC7C02" w:rsidRPr="000261A1" w:rsidRDefault="00AC7C02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61A1">
              <w:rPr>
                <w:rFonts w:ascii="Century Gothic" w:hAnsi="Century Gothic"/>
                <w:b/>
                <w:bCs/>
                <w:sz w:val="20"/>
                <w:szCs w:val="20"/>
              </w:rPr>
              <w:t>Proper hygiene:</w:t>
            </w:r>
          </w:p>
          <w:p w14:paraId="1CD0F97D" w14:textId="198E21E7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Staff and visitors are reminded of the importance of maintaining good personal hygiene and are instructed to follow good Covid-19 etiquette including:</w:t>
            </w:r>
          </w:p>
          <w:p w14:paraId="1E80A6AA" w14:textId="361B3529" w:rsidR="00AC7C02" w:rsidRPr="000261A1" w:rsidRDefault="00AC7C02" w:rsidP="00AA549E">
            <w:pPr>
              <w:pStyle w:val="Default"/>
              <w:numPr>
                <w:ilvl w:val="1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Practicing ‘Catch it, bin it, kill’ – signs displayed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F66E8F1" w14:textId="4CD3376B" w:rsidR="00AC7C02" w:rsidRPr="000261A1" w:rsidRDefault="00AC7C02" w:rsidP="00AA549E">
            <w:pPr>
              <w:pStyle w:val="Default"/>
              <w:numPr>
                <w:ilvl w:val="1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Do not touch your eyes, </w:t>
            </w:r>
            <w:proofErr w:type="gramStart"/>
            <w:r w:rsidRPr="000261A1">
              <w:rPr>
                <w:rFonts w:ascii="Century Gothic" w:hAnsi="Century Gothic"/>
                <w:sz w:val="20"/>
                <w:szCs w:val="20"/>
              </w:rPr>
              <w:t>nose</w:t>
            </w:r>
            <w:proofErr w:type="gramEnd"/>
            <w:r w:rsidRPr="000261A1">
              <w:rPr>
                <w:rFonts w:ascii="Century Gothic" w:hAnsi="Century Gothic"/>
                <w:sz w:val="20"/>
                <w:szCs w:val="20"/>
              </w:rPr>
              <w:t xml:space="preserve"> or mouth if your hands are not clean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369295F" w14:textId="50F30D84" w:rsidR="00AC7C02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Staff and visitors are asked not to come to the Science Oxford Centre if they display any </w:t>
            </w:r>
            <w:hyperlink r:id="rId11" w:history="1">
              <w:r w:rsidRPr="000261A1">
                <w:rPr>
                  <w:rStyle w:val="Hyperlink"/>
                  <w:rFonts w:ascii="Century Gothic" w:hAnsi="Century Gothic"/>
                  <w:sz w:val="20"/>
                  <w:szCs w:val="20"/>
                </w:rPr>
                <w:t>Corona Virus symptoms.</w:t>
              </w:r>
            </w:hyperlink>
          </w:p>
          <w:p w14:paraId="447236F4" w14:textId="6464FB0D" w:rsidR="00AC7C02" w:rsidRPr="000261A1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6D329939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EE9B089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7073FFE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7C522A3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CCFA3C4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441F2CA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181261" w14:textId="77777777" w:rsidR="00AA549E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199B0C" w14:textId="310C11EA" w:rsidR="00AC7C02" w:rsidRDefault="00AC7C02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61A1">
              <w:rPr>
                <w:rFonts w:ascii="Century Gothic" w:hAnsi="Century Gothic"/>
                <w:b/>
                <w:bCs/>
                <w:sz w:val="20"/>
                <w:szCs w:val="20"/>
              </w:rPr>
              <w:t>Social distancing:</w:t>
            </w:r>
          </w:p>
          <w:p w14:paraId="067B79A0" w14:textId="77777777" w:rsidR="00AA549E" w:rsidRPr="000261A1" w:rsidRDefault="00AA549E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123F5D" w14:textId="2674DF4D" w:rsidR="00AC7C02" w:rsidRPr="000261A1" w:rsidRDefault="00AA549E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To</w:t>
            </w:r>
            <w:r w:rsidR="00AC7C02" w:rsidRPr="000261A1">
              <w:rPr>
                <w:rFonts w:ascii="Century Gothic" w:hAnsi="Century Gothic"/>
                <w:sz w:val="20"/>
                <w:szCs w:val="20"/>
              </w:rPr>
              <w:t xml:space="preserve"> assist staff and visitors maintaining social distancing the following controls have been implemented:</w:t>
            </w:r>
          </w:p>
          <w:p w14:paraId="58FD91A4" w14:textId="19010D7B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Signage to remind people to maintain social distancing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B2ABD96" w14:textId="586EDA42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A one-way system around the use of facilities like toilets, coatracks and entrances and exits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6CFB6E9" w14:textId="1A7B9718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0261A1">
              <w:rPr>
                <w:rFonts w:ascii="Century Gothic" w:hAnsi="Century Gothic"/>
                <w:sz w:val="20"/>
                <w:szCs w:val="20"/>
              </w:rPr>
              <w:t xml:space="preserve">xploration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0261A1">
              <w:rPr>
                <w:rFonts w:ascii="Century Gothic" w:hAnsi="Century Gothic"/>
                <w:sz w:val="20"/>
                <w:szCs w:val="20"/>
              </w:rPr>
              <w:t>one has been re-arranged to allow guests to maintain social distancing while interacting with the exhibits.</w:t>
            </w:r>
          </w:p>
          <w:p w14:paraId="15988061" w14:textId="2FB8071F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We have reduced the capacity of our sessions to 50%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75930FF" w14:textId="41F5EE61" w:rsidR="00AA549E" w:rsidRPr="00AA549E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All tickets must be bought online in advance the avoid the need to accept payment and to reduce the need to queue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10B0394" w14:textId="22690B49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Guests will check in upon arrival with a staff member at a safe distance by giving their last name and will be directed straight through into the Science Oxford centre with no communal holding area to avoid gatherings in the lobby.</w:t>
            </w:r>
          </w:p>
          <w:p w14:paraId="63E9FD02" w14:textId="12C6C8F9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Floor markings are used to show a safe distance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EA38BD" w14:textId="6F18A1BD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Car and bike parking </w:t>
            </w:r>
            <w:r w:rsidR="00AA549E" w:rsidRPr="000261A1">
              <w:rPr>
                <w:rFonts w:ascii="Century Gothic" w:hAnsi="Century Gothic"/>
                <w:sz w:val="20"/>
                <w:szCs w:val="20"/>
              </w:rPr>
              <w:t>are</w:t>
            </w:r>
            <w:r w:rsidRPr="000261A1">
              <w:rPr>
                <w:rFonts w:ascii="Century Gothic" w:hAnsi="Century Gothic"/>
                <w:sz w:val="20"/>
                <w:szCs w:val="20"/>
              </w:rPr>
              <w:t xml:space="preserve"> provided to enable staff and visitors to avoid public transport</w:t>
            </w:r>
            <w:r w:rsidR="00AA54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4E81E9F" w14:textId="57EB7541" w:rsidR="00AC7C02" w:rsidRPr="000261A1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188D7DA8" w14:textId="29476013" w:rsidR="00AC7C02" w:rsidRPr="000261A1" w:rsidRDefault="00AC7C02" w:rsidP="00AA549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61A1">
              <w:rPr>
                <w:rFonts w:ascii="Century Gothic" w:hAnsi="Century Gothic"/>
                <w:b/>
                <w:bCs/>
                <w:sz w:val="20"/>
                <w:szCs w:val="20"/>
              </w:rPr>
              <w:t>Test and Trace:</w:t>
            </w:r>
          </w:p>
          <w:p w14:paraId="15AB3B9A" w14:textId="1C8A3B93" w:rsidR="00AC7C02" w:rsidRPr="000261A1" w:rsidRDefault="00AC7C02" w:rsidP="00AA549E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All staff and visitors must provide full contact details to enable us to comply with </w:t>
            </w:r>
            <w:hyperlink r:id="rId12" w:history="1">
              <w:r w:rsidRPr="000261A1">
                <w:rPr>
                  <w:rStyle w:val="Hyperlink"/>
                  <w:rFonts w:ascii="Century Gothic" w:hAnsi="Century Gothic"/>
                  <w:sz w:val="20"/>
                  <w:szCs w:val="20"/>
                </w:rPr>
                <w:t>Test and Trace</w:t>
              </w:r>
            </w:hyperlink>
            <w:r w:rsidRPr="000261A1">
              <w:rPr>
                <w:rFonts w:ascii="Century Gothic" w:hAnsi="Century Gothic"/>
                <w:sz w:val="20"/>
                <w:szCs w:val="20"/>
              </w:rPr>
              <w:t>. If anyone who visits the Science Oxford Centre may be at risk Science Oxford will inform them.</w:t>
            </w:r>
          </w:p>
          <w:p w14:paraId="39FEAAA2" w14:textId="1F8597B4" w:rsidR="00AC7C02" w:rsidRPr="000261A1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9E4EDED" w14:textId="2C2AEC52" w:rsidR="00AC7C02" w:rsidRPr="000261A1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</w:t>
            </w:r>
          </w:p>
        </w:tc>
        <w:tc>
          <w:tcPr>
            <w:tcW w:w="474" w:type="dxa"/>
            <w:vAlign w:val="center"/>
          </w:tcPr>
          <w:p w14:paraId="5E889E92" w14:textId="201778C9" w:rsidR="00AC7C02" w:rsidRPr="000261A1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92D050"/>
            <w:vAlign w:val="center"/>
          </w:tcPr>
          <w:p w14:paraId="3A384272" w14:textId="62D99C11" w:rsidR="00AC7C02" w:rsidRPr="000261A1" w:rsidRDefault="00AC7C02" w:rsidP="00AA54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AC7C02" w:rsidRPr="008F6425" w14:paraId="3CD159FF" w14:textId="77777777" w:rsidTr="00AA549E">
        <w:trPr>
          <w:trHeight w:val="1011"/>
        </w:trPr>
        <w:tc>
          <w:tcPr>
            <w:tcW w:w="1484" w:type="dxa"/>
            <w:vMerge/>
            <w:vAlign w:val="center"/>
          </w:tcPr>
          <w:p w14:paraId="5BD34FFE" w14:textId="521F5AB0" w:rsidR="00AC7C02" w:rsidRPr="000261A1" w:rsidRDefault="00AC7C02" w:rsidP="00AA549E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14:paraId="30397A5B" w14:textId="1FEE0FA6" w:rsidR="00AC7C02" w:rsidRPr="000261A1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Getting or spreading coronavirus from touching shared surfaces</w:t>
            </w:r>
          </w:p>
          <w:p w14:paraId="54B0B038" w14:textId="50D20889" w:rsidR="00AC7C02" w:rsidRPr="000261A1" w:rsidRDefault="00AC7C02" w:rsidP="00AA549E">
            <w:pPr>
              <w:pStyle w:val="1Text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068" w:type="dxa"/>
            <w:vAlign w:val="center"/>
          </w:tcPr>
          <w:p w14:paraId="0DE52C07" w14:textId="77777777" w:rsidR="00AA549E" w:rsidRDefault="00AA549E" w:rsidP="00AA549E">
            <w:pPr>
              <w:pStyle w:val="NoSpacing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09CCA23A" w14:textId="179A1A07" w:rsidR="00AC7C02" w:rsidRPr="000261A1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Al</w:t>
            </w: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0261A1">
              <w:rPr>
                <w:rFonts w:ascii="Century Gothic" w:hAnsi="Century Gothic"/>
                <w:sz w:val="20"/>
                <w:szCs w:val="20"/>
              </w:rPr>
              <w:t xml:space="preserve"> staff and visitors are required to sanitize their hands at the stations provided upon each entry into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Science Oxford Centre and</w:t>
            </w:r>
            <w:r w:rsidRPr="000261A1">
              <w:rPr>
                <w:rFonts w:ascii="Century Gothic" w:hAnsi="Century Gothic"/>
                <w:sz w:val="20"/>
                <w:szCs w:val="20"/>
              </w:rPr>
              <w:t xml:space="preserve"> the 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0261A1">
              <w:rPr>
                <w:rFonts w:ascii="Century Gothic" w:hAnsi="Century Gothic"/>
                <w:sz w:val="20"/>
                <w:szCs w:val="20"/>
              </w:rPr>
              <w:t xml:space="preserve">xploration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0261A1">
              <w:rPr>
                <w:rFonts w:ascii="Century Gothic" w:hAnsi="Century Gothic"/>
                <w:sz w:val="20"/>
                <w:szCs w:val="20"/>
              </w:rPr>
              <w:t>one.</w:t>
            </w:r>
          </w:p>
          <w:p w14:paraId="31C81842" w14:textId="45A64B0D" w:rsidR="00AC7C02" w:rsidRPr="00AA549E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 xml:space="preserve">Increased cleaning will be taking place in the Exploration zone during sessions. </w:t>
            </w:r>
          </w:p>
          <w:p w14:paraId="5B449241" w14:textId="3BA438DB" w:rsidR="00AC7C02" w:rsidRPr="000261A1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Toilets, lunch tables and other shared use areas will be cleaned regularly during sessions.</w:t>
            </w:r>
          </w:p>
          <w:p w14:paraId="60107A90" w14:textId="29212433" w:rsidR="00AC7C02" w:rsidRPr="000261A1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We have reduced the number of sessions available to allow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 hours</w:t>
            </w:r>
            <w:r w:rsidRPr="000261A1">
              <w:rPr>
                <w:rFonts w:ascii="Century Gothic" w:hAnsi="Century Gothic"/>
                <w:sz w:val="20"/>
                <w:szCs w:val="20"/>
              </w:rPr>
              <w:t xml:space="preserve"> for a 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orough </w:t>
            </w:r>
            <w:r w:rsidRPr="000261A1">
              <w:rPr>
                <w:rFonts w:ascii="Century Gothic" w:hAnsi="Century Gothic"/>
                <w:sz w:val="20"/>
                <w:szCs w:val="20"/>
              </w:rPr>
              <w:t>deep clean between session 1 and 2.</w:t>
            </w:r>
          </w:p>
          <w:p w14:paraId="52E5D466" w14:textId="77777777" w:rsidR="00AC7C02" w:rsidRPr="000261A1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Some exhibits have been removed such as the ‘Sand sculpture’ and ‘Sound bite’ exhibit.</w:t>
            </w:r>
          </w:p>
          <w:p w14:paraId="20A5BBD3" w14:textId="6F1A6F30" w:rsidR="00AC7C02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We will not be providing lockers at this time, instead coat racks will be provided and cleaned before and after use.</w:t>
            </w:r>
          </w:p>
          <w:p w14:paraId="64286B89" w14:textId="7A1B5C3A" w:rsidR="00AC7C02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Any activity sheets or exhibit accessories will be single use or cleaned after each session.</w:t>
            </w:r>
          </w:p>
          <w:p w14:paraId="69706C8B" w14:textId="77777777" w:rsidR="00AC7C02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0261A1">
              <w:rPr>
                <w:rFonts w:ascii="Century Gothic" w:hAnsi="Century Gothic"/>
                <w:sz w:val="20"/>
                <w:szCs w:val="20"/>
              </w:rPr>
              <w:t>The Wood Centre for Innovation daily cleaning has also been increased.</w:t>
            </w:r>
          </w:p>
          <w:p w14:paraId="1965323B" w14:textId="2BD6C5D6" w:rsidR="00AA549E" w:rsidRPr="002D2972" w:rsidRDefault="00AA549E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5A44CBC3" w14:textId="7FCBC0F9" w:rsidR="00AC7C02" w:rsidRPr="000261A1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14:paraId="1C49D8E0" w14:textId="798823CF" w:rsidR="00AC7C02" w:rsidRPr="000261A1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92D050"/>
            <w:vAlign w:val="center"/>
          </w:tcPr>
          <w:p w14:paraId="5811C577" w14:textId="0C47FBF7" w:rsidR="00AC7C02" w:rsidRPr="000261A1" w:rsidRDefault="00AC7C02" w:rsidP="00AA54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AC7C02" w:rsidRPr="008F6425" w14:paraId="3E16B7FC" w14:textId="77777777" w:rsidTr="00AA549E">
        <w:trPr>
          <w:trHeight w:val="1011"/>
        </w:trPr>
        <w:tc>
          <w:tcPr>
            <w:tcW w:w="1484" w:type="dxa"/>
            <w:vMerge/>
            <w:vAlign w:val="center"/>
          </w:tcPr>
          <w:p w14:paraId="064630E6" w14:textId="77777777" w:rsidR="00AC7C02" w:rsidRPr="000261A1" w:rsidRDefault="00AC7C02" w:rsidP="00AA549E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14:paraId="4DCEA25F" w14:textId="3FA46A05" w:rsidR="00AC7C02" w:rsidRPr="000261A1" w:rsidRDefault="00AC7C02" w:rsidP="00AA549E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</w:t>
            </w:r>
            <w:r w:rsidRPr="000261A1">
              <w:rPr>
                <w:rFonts w:ascii="Century Gothic" w:hAnsi="Century Gothic"/>
                <w:sz w:val="20"/>
                <w:szCs w:val="20"/>
              </w:rPr>
              <w:t>ulnerable workers or high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0261A1">
              <w:rPr>
                <w:rFonts w:ascii="Century Gothic" w:hAnsi="Century Gothic"/>
                <w:sz w:val="20"/>
                <w:szCs w:val="20"/>
              </w:rPr>
              <w:t>risk interactions</w:t>
            </w:r>
          </w:p>
        </w:tc>
        <w:tc>
          <w:tcPr>
            <w:tcW w:w="9068" w:type="dxa"/>
            <w:vAlign w:val="center"/>
          </w:tcPr>
          <w:p w14:paraId="45C49FAE" w14:textId="77777777" w:rsidR="00AC7C02" w:rsidRDefault="00AC7C02" w:rsidP="00AA549E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70C54F82" w14:textId="6370B5D9" w:rsidR="00AC7C02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staff members have taken a questionnaire to assess the risk of them working with the public and only low risk staff will be working in the Science Oxford Centre.</w:t>
            </w:r>
          </w:p>
          <w:p w14:paraId="50024C37" w14:textId="2CF12FD9" w:rsidR="00AC7C02" w:rsidRDefault="00AC7C02" w:rsidP="00AA549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PPE including masks, gloves and hand sanitizer is available to our staff and will be mandatory in situations where social distancing cannot be maintained such as responding to a First Aid incident.</w:t>
            </w:r>
          </w:p>
          <w:p w14:paraId="0B3806E8" w14:textId="70DFAD25" w:rsidR="00AC7C02" w:rsidRPr="000261A1" w:rsidRDefault="00AC7C02" w:rsidP="00AA54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F6DB770" w14:textId="0F0D491C" w:rsidR="00AC7C02" w:rsidRPr="000261A1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14:paraId="2F2336A1" w14:textId="0C01584E" w:rsidR="00AC7C02" w:rsidRPr="000261A1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92D050"/>
            <w:vAlign w:val="center"/>
          </w:tcPr>
          <w:p w14:paraId="74F38A8A" w14:textId="24C00C3C" w:rsidR="00AC7C02" w:rsidRPr="000261A1" w:rsidRDefault="00AC7C02" w:rsidP="00AA54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AC7C02" w:rsidRPr="008F6425" w14:paraId="1FA77D5C" w14:textId="77777777" w:rsidTr="00AA549E">
        <w:trPr>
          <w:trHeight w:val="1011"/>
        </w:trPr>
        <w:tc>
          <w:tcPr>
            <w:tcW w:w="1484" w:type="dxa"/>
            <w:vMerge/>
            <w:vAlign w:val="center"/>
          </w:tcPr>
          <w:p w14:paraId="60D3E21B" w14:textId="77777777" w:rsidR="00AC7C02" w:rsidRPr="000261A1" w:rsidRDefault="00AC7C02" w:rsidP="00AA549E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14:paraId="3B961321" w14:textId="5164FF28" w:rsidR="00AC7C02" w:rsidRDefault="00AC7C02" w:rsidP="00AA549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Vulnerable visitors </w:t>
            </w:r>
          </w:p>
        </w:tc>
        <w:tc>
          <w:tcPr>
            <w:tcW w:w="9068" w:type="dxa"/>
            <w:vAlign w:val="center"/>
          </w:tcPr>
          <w:p w14:paraId="0768B35B" w14:textId="6142BB30" w:rsidR="00AC7C02" w:rsidRDefault="00AC7C02" w:rsidP="00AA54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you are shielding or in a high-risk group as per NHS guidelines, then we suggest that you do not come to the Science Oxford Centre.</w:t>
            </w:r>
          </w:p>
        </w:tc>
        <w:tc>
          <w:tcPr>
            <w:tcW w:w="474" w:type="dxa"/>
            <w:vAlign w:val="center"/>
          </w:tcPr>
          <w:p w14:paraId="56B55FC8" w14:textId="11CA13B1" w:rsidR="00AC7C02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74" w:type="dxa"/>
            <w:vAlign w:val="center"/>
          </w:tcPr>
          <w:p w14:paraId="07285E91" w14:textId="1F0C09EB" w:rsidR="00AC7C02" w:rsidRDefault="00AC7C02" w:rsidP="00AA5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92D050"/>
            <w:vAlign w:val="center"/>
          </w:tcPr>
          <w:p w14:paraId="32C08B29" w14:textId="1201EE2A" w:rsidR="00AC7C02" w:rsidRDefault="00AC7C02" w:rsidP="00AA54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</w:tbl>
    <w:p w14:paraId="6E6D4050" w14:textId="5007774D" w:rsidR="006414B0" w:rsidRDefault="006414B0" w:rsidP="006414B0">
      <w:pPr>
        <w:rPr>
          <w:rFonts w:ascii="Arial" w:hAnsi="Arial" w:cs="Arial"/>
          <w:sz w:val="20"/>
          <w:szCs w:val="20"/>
        </w:rPr>
      </w:pPr>
    </w:p>
    <w:p w14:paraId="4DC3D093" w14:textId="1CCAEEFE" w:rsidR="00DB6974" w:rsidRDefault="00DB6974"/>
    <w:sectPr w:rsidR="00DB6974" w:rsidSect="00CD3176">
      <w:headerReference w:type="even" r:id="rId13"/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6D9BD" w14:textId="77777777" w:rsidR="00906760" w:rsidRDefault="00906760" w:rsidP="00D0342B">
      <w:pPr>
        <w:spacing w:after="0" w:line="240" w:lineRule="auto"/>
      </w:pPr>
      <w:r>
        <w:separator/>
      </w:r>
    </w:p>
  </w:endnote>
  <w:endnote w:type="continuationSeparator" w:id="0">
    <w:p w14:paraId="33879C49" w14:textId="77777777" w:rsidR="00906760" w:rsidRDefault="00906760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4A985" w14:textId="544F313E" w:rsidR="00D0342B" w:rsidRDefault="00CC22E7" w:rsidP="00961848">
    <w:pPr>
      <w:pStyle w:val="Footer"/>
      <w:tabs>
        <w:tab w:val="left" w:pos="705"/>
        <w:tab w:val="right" w:pos="1395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87F6A" wp14:editId="55936617">
          <wp:simplePos x="0" y="0"/>
          <wp:positionH relativeFrom="column">
            <wp:posOffset>8535887</wp:posOffset>
          </wp:positionH>
          <wp:positionV relativeFrom="paragraph">
            <wp:posOffset>-105462</wp:posOffset>
          </wp:positionV>
          <wp:extent cx="1195200" cy="590400"/>
          <wp:effectExtent l="0" t="0" r="0" b="0"/>
          <wp:wrapThrough wrapText="bothSides">
            <wp:wrapPolygon edited="0">
              <wp:start x="14691" y="0"/>
              <wp:lineTo x="0" y="6975"/>
              <wp:lineTo x="0" y="10695"/>
              <wp:lineTo x="12395" y="14881"/>
              <wp:lineTo x="12395" y="17206"/>
              <wp:lineTo x="12854" y="20926"/>
              <wp:lineTo x="13313" y="20926"/>
              <wp:lineTo x="15838" y="20926"/>
              <wp:lineTo x="16298" y="20926"/>
              <wp:lineTo x="16986" y="16276"/>
              <wp:lineTo x="21348" y="13485"/>
              <wp:lineTo x="21348" y="5115"/>
              <wp:lineTo x="16757" y="0"/>
              <wp:lineTo x="1469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848">
      <w:rPr>
        <w:sz w:val="28"/>
        <w:szCs w:val="28"/>
      </w:rPr>
      <w:t xml:space="preserve">     </w:t>
    </w:r>
    <w:r w:rsidR="00B51906"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</w:t>
    </w:r>
    <w:r w:rsidR="00EC6102">
      <w:rPr>
        <w:sz w:val="28"/>
        <w:szCs w:val="28"/>
      </w:rPr>
      <w:t xml:space="preserve"> </w:t>
    </w:r>
    <w:r w:rsidR="005C0FA9">
      <w:rPr>
        <w:sz w:val="28"/>
        <w:szCs w:val="28"/>
      </w:rPr>
      <w:t>assessments and dynamic management of risk.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42C0" w14:textId="77777777" w:rsidR="00906760" w:rsidRDefault="00906760" w:rsidP="00D0342B">
      <w:pPr>
        <w:spacing w:after="0" w:line="240" w:lineRule="auto"/>
      </w:pPr>
      <w:r>
        <w:separator/>
      </w:r>
    </w:p>
  </w:footnote>
  <w:footnote w:type="continuationSeparator" w:id="0">
    <w:p w14:paraId="50650DA8" w14:textId="77777777" w:rsidR="00906760" w:rsidRDefault="00906760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D190" w14:textId="77777777" w:rsidR="005A7DE6" w:rsidRDefault="005A7DE6" w:rsidP="005A7DE6">
    <w:pPr>
      <w:pStyle w:val="Header"/>
      <w:rPr>
        <w:sz w:val="36"/>
        <w:szCs w:val="36"/>
      </w:rPr>
    </w:pPr>
    <w:r>
      <w:rPr>
        <w:sz w:val="36"/>
        <w:szCs w:val="36"/>
      </w:rPr>
      <w:t>Risk Assessment – Super Senses KS1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5A7DE6" w:rsidRPr="008F6425" w14:paraId="4583C77E" w14:textId="77777777" w:rsidTr="00CC2C03">
      <w:trPr>
        <w:trHeight w:val="294"/>
      </w:trPr>
      <w:tc>
        <w:tcPr>
          <w:tcW w:w="2156" w:type="dxa"/>
        </w:tcPr>
        <w:p w14:paraId="647053CF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444C0584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337C6036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5A7DE6" w:rsidRPr="008F6425" w14:paraId="59C87E24" w14:textId="77777777" w:rsidTr="00CC2C03">
      <w:trPr>
        <w:trHeight w:val="278"/>
      </w:trPr>
      <w:tc>
        <w:tcPr>
          <w:tcW w:w="2156" w:type="dxa"/>
        </w:tcPr>
        <w:p w14:paraId="6B88F860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0AD5F48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162D0FEC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5A7DE6" w:rsidRPr="008F6425" w14:paraId="247B1FF8" w14:textId="77777777" w:rsidTr="00CC2C03">
      <w:trPr>
        <w:trHeight w:val="294"/>
      </w:trPr>
      <w:tc>
        <w:tcPr>
          <w:tcW w:w="2156" w:type="dxa"/>
        </w:tcPr>
        <w:p w14:paraId="7B9C1343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2D9BF451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2F88E62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5A7DE6" w:rsidRPr="008F6425" w14:paraId="5F855488" w14:textId="77777777" w:rsidTr="00CC2C03">
      <w:trPr>
        <w:trHeight w:val="278"/>
      </w:trPr>
      <w:tc>
        <w:tcPr>
          <w:tcW w:w="2156" w:type="dxa"/>
        </w:tcPr>
        <w:p w14:paraId="228622D2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0EF28ED6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0A5E523B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5A7DE6" w:rsidRPr="008F6425" w14:paraId="09D42B14" w14:textId="77777777" w:rsidTr="00CC2C03">
      <w:trPr>
        <w:trHeight w:val="294"/>
      </w:trPr>
      <w:tc>
        <w:tcPr>
          <w:tcW w:w="2156" w:type="dxa"/>
        </w:tcPr>
        <w:p w14:paraId="1908E0F7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4AB2B5E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35AB5B23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5A7DE6" w:rsidRPr="008F6425" w14:paraId="42BA45F8" w14:textId="77777777" w:rsidTr="00CC2C03">
      <w:trPr>
        <w:trHeight w:val="278"/>
      </w:trPr>
      <w:tc>
        <w:tcPr>
          <w:tcW w:w="2156" w:type="dxa"/>
        </w:tcPr>
        <w:p w14:paraId="2B855E2E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367AE23A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2345AAE8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7F1B2411" w14:textId="77777777" w:rsidR="005A7DE6" w:rsidRDefault="005A7DE6" w:rsidP="005A7DE6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5A7DE6" w:rsidRPr="008F6425" w14:paraId="0943A53B" w14:textId="77777777" w:rsidTr="00CC2C03">
      <w:trPr>
        <w:trHeight w:val="416"/>
      </w:trPr>
      <w:tc>
        <w:tcPr>
          <w:tcW w:w="2972" w:type="dxa"/>
          <w:vMerge w:val="restart"/>
        </w:tcPr>
        <w:p w14:paraId="4F438C5F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14:paraId="6D6CFD70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>
            <w:rPr>
              <w:rFonts w:ascii="Century Gothic" w:hAnsi="Century Gothic"/>
              <w:sz w:val="24"/>
              <w:szCs w:val="24"/>
            </w:rPr>
            <w:t>Ian Snell</w:t>
          </w:r>
        </w:p>
      </w:tc>
    </w:tr>
    <w:tr w:rsidR="005A7DE6" w:rsidRPr="008F6425" w14:paraId="6591B691" w14:textId="77777777" w:rsidTr="00CC2C03">
      <w:trPr>
        <w:trHeight w:val="418"/>
      </w:trPr>
      <w:tc>
        <w:tcPr>
          <w:tcW w:w="2972" w:type="dxa"/>
          <w:vMerge/>
        </w:tcPr>
        <w:p w14:paraId="03267F83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14:paraId="76F6651B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>
            <w:rPr>
              <w:noProof/>
              <w:lang w:eastAsia="en-GB"/>
            </w:rPr>
            <w:drawing>
              <wp:inline distT="0" distB="0" distL="0" distR="0" wp14:anchorId="3A9FDC36" wp14:editId="21CFE03B">
                <wp:extent cx="450850" cy="323850"/>
                <wp:effectExtent l="0" t="0" r="6350" b="0"/>
                <wp:docPr id="1" name="Picture 1" descr="C:\Users\ian.snell\AppData\Local\Microsoft\Windows\INetCache\Content.Word\ia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ian.snell\AppData\Local\Microsoft\Windows\INetCache\Content.Word\ia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DE6" w:rsidRPr="008F6425" w14:paraId="3DF74FA8" w14:textId="77777777" w:rsidTr="00CC2C03">
      <w:trPr>
        <w:trHeight w:val="127"/>
      </w:trPr>
      <w:tc>
        <w:tcPr>
          <w:tcW w:w="2972" w:type="dxa"/>
        </w:tcPr>
        <w:p w14:paraId="2215CFE4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14:paraId="39D510EE" w14:textId="77777777" w:rsidR="005A7DE6" w:rsidRPr="008F6425" w:rsidRDefault="005A7DE6" w:rsidP="005A7DE6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September 2020</w:t>
          </w:r>
        </w:p>
      </w:tc>
    </w:tr>
  </w:tbl>
  <w:p w14:paraId="53B7A7A9" w14:textId="77777777" w:rsidR="005A7DE6" w:rsidRPr="008542A1" w:rsidRDefault="005A7DE6" w:rsidP="005A7DE6">
    <w:pPr>
      <w:pStyle w:val="Header"/>
      <w:rPr>
        <w:sz w:val="36"/>
        <w:szCs w:val="36"/>
      </w:rPr>
    </w:pPr>
  </w:p>
  <w:p w14:paraId="47A7F11C" w14:textId="77777777" w:rsidR="005A7DE6" w:rsidRDefault="005A7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F3B0" w14:textId="7897F305" w:rsidR="005F4384" w:rsidRDefault="008F6425">
    <w:pPr>
      <w:pStyle w:val="Header"/>
      <w:rPr>
        <w:sz w:val="36"/>
        <w:szCs w:val="36"/>
      </w:rPr>
    </w:pPr>
    <w:r>
      <w:rPr>
        <w:sz w:val="36"/>
        <w:szCs w:val="36"/>
      </w:rPr>
      <w:t xml:space="preserve">Risk Assessment – </w:t>
    </w:r>
    <w:r w:rsidR="001911FE">
      <w:rPr>
        <w:sz w:val="36"/>
        <w:szCs w:val="36"/>
      </w:rPr>
      <w:t xml:space="preserve">COVID-19 </w:t>
    </w:r>
    <w:r w:rsidR="006414B0">
      <w:rPr>
        <w:sz w:val="36"/>
        <w:szCs w:val="36"/>
      </w:rPr>
      <w:t>Family Open Days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50FD1962" w14:textId="77777777" w:rsidTr="00B36A2E">
      <w:trPr>
        <w:trHeight w:val="294"/>
      </w:trPr>
      <w:tc>
        <w:tcPr>
          <w:tcW w:w="2156" w:type="dxa"/>
        </w:tcPr>
        <w:p w14:paraId="2DCF5818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6734A31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0FF1F97E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130DF2" w:rsidRPr="008F6425" w14:paraId="30F35D7C" w14:textId="77777777" w:rsidTr="00B36A2E">
      <w:trPr>
        <w:trHeight w:val="278"/>
      </w:trPr>
      <w:tc>
        <w:tcPr>
          <w:tcW w:w="2156" w:type="dxa"/>
        </w:tcPr>
        <w:p w14:paraId="18C3B0CD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2662670A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2817B7D0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130DF2" w:rsidRPr="008F6425" w14:paraId="676189D5" w14:textId="77777777" w:rsidTr="00B36A2E">
      <w:trPr>
        <w:trHeight w:val="294"/>
      </w:trPr>
      <w:tc>
        <w:tcPr>
          <w:tcW w:w="2156" w:type="dxa"/>
        </w:tcPr>
        <w:p w14:paraId="03563D5C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E7CA7B3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2F3A3720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130DF2" w:rsidRPr="008F6425" w14:paraId="6F3A1F69" w14:textId="77777777" w:rsidTr="00B36A2E">
      <w:trPr>
        <w:trHeight w:val="278"/>
      </w:trPr>
      <w:tc>
        <w:tcPr>
          <w:tcW w:w="2156" w:type="dxa"/>
        </w:tcPr>
        <w:p w14:paraId="23F1ADF6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09AB7A55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1280B8B1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130DF2" w:rsidRPr="008F6425" w14:paraId="469D0052" w14:textId="77777777" w:rsidTr="00B36A2E">
      <w:trPr>
        <w:trHeight w:val="294"/>
      </w:trPr>
      <w:tc>
        <w:tcPr>
          <w:tcW w:w="2156" w:type="dxa"/>
        </w:tcPr>
        <w:p w14:paraId="23D3F96E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1614B539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33791164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130DF2" w:rsidRPr="008F6425" w14:paraId="79CA39C7" w14:textId="77777777" w:rsidTr="00B36A2E">
      <w:trPr>
        <w:trHeight w:val="278"/>
      </w:trPr>
      <w:tc>
        <w:tcPr>
          <w:tcW w:w="2156" w:type="dxa"/>
        </w:tcPr>
        <w:p w14:paraId="10221F36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081410CB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04D4FBBD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5E17895E" w14:textId="77777777"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130DF2" w:rsidRPr="008F6425" w14:paraId="029EEE27" w14:textId="77777777" w:rsidTr="00B36A2E">
      <w:trPr>
        <w:trHeight w:val="416"/>
      </w:trPr>
      <w:tc>
        <w:tcPr>
          <w:tcW w:w="2972" w:type="dxa"/>
          <w:vMerge w:val="restart"/>
        </w:tcPr>
        <w:p w14:paraId="47FDC193" w14:textId="77777777" w:rsidR="00130DF2" w:rsidRPr="008F6425" w:rsidRDefault="00130DF2" w:rsidP="00B36A2E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14:paraId="6CF809DA" w14:textId="4ACB5A69" w:rsidR="00130DF2" w:rsidRPr="008F6425" w:rsidRDefault="00130DF2" w:rsidP="00880D33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 w:rsidR="006414B0">
            <w:rPr>
              <w:rFonts w:ascii="Century Gothic" w:hAnsi="Century Gothic"/>
              <w:sz w:val="24"/>
              <w:szCs w:val="24"/>
            </w:rPr>
            <w:t>Kat Kelly</w:t>
          </w:r>
        </w:p>
      </w:tc>
    </w:tr>
    <w:tr w:rsidR="00130DF2" w:rsidRPr="008F6425" w14:paraId="067EB868" w14:textId="77777777" w:rsidTr="00B36A2E">
      <w:trPr>
        <w:trHeight w:val="418"/>
      </w:trPr>
      <w:tc>
        <w:tcPr>
          <w:tcW w:w="2972" w:type="dxa"/>
          <w:vMerge/>
        </w:tcPr>
        <w:p w14:paraId="26230EAF" w14:textId="77777777" w:rsidR="00130DF2" w:rsidRPr="008F6425" w:rsidRDefault="00130DF2" w:rsidP="00B36A2E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14:paraId="29F7121D" w14:textId="0511BFA6" w:rsidR="00130DF2" w:rsidRPr="008F6425" w:rsidRDefault="00130DF2" w:rsidP="00880D33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 w:rsidR="006414B0">
            <w:rPr>
              <w:noProof/>
            </w:rPr>
            <w:t>K.Kelly</w:t>
          </w:r>
        </w:p>
      </w:tc>
    </w:tr>
    <w:tr w:rsidR="00130DF2" w:rsidRPr="008F6425" w14:paraId="0E254EBB" w14:textId="77777777" w:rsidTr="00B36A2E">
      <w:trPr>
        <w:trHeight w:val="127"/>
      </w:trPr>
      <w:tc>
        <w:tcPr>
          <w:tcW w:w="2972" w:type="dxa"/>
        </w:tcPr>
        <w:p w14:paraId="46752767" w14:textId="77777777" w:rsidR="00130DF2" w:rsidRPr="008F6425" w:rsidRDefault="00130DF2" w:rsidP="00B36A2E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14:paraId="1775680C" w14:textId="47BE3FB5" w:rsidR="00130DF2" w:rsidRPr="008F6425" w:rsidRDefault="006414B0" w:rsidP="00B36A2E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September 2020</w:t>
          </w:r>
        </w:p>
      </w:tc>
    </w:tr>
  </w:tbl>
  <w:p w14:paraId="484A2284" w14:textId="63694CFA" w:rsidR="00130DF2" w:rsidRDefault="00130DF2" w:rsidP="000261A1">
    <w:pPr>
      <w:pStyle w:val="Header"/>
      <w:rPr>
        <w:sz w:val="36"/>
        <w:szCs w:val="36"/>
      </w:rPr>
    </w:pPr>
  </w:p>
  <w:p w14:paraId="59BB0143" w14:textId="762C5D80" w:rsidR="00AA549E" w:rsidRDefault="00AA549E" w:rsidP="000261A1">
    <w:pPr>
      <w:pStyle w:val="Header"/>
      <w:rPr>
        <w:sz w:val="36"/>
        <w:szCs w:val="36"/>
      </w:rPr>
    </w:pPr>
  </w:p>
  <w:p w14:paraId="1F0BE280" w14:textId="25FD0AAA" w:rsidR="00AA549E" w:rsidRDefault="00AA549E" w:rsidP="000261A1">
    <w:pPr>
      <w:pStyle w:val="Header"/>
      <w:rPr>
        <w:sz w:val="36"/>
        <w:szCs w:val="36"/>
      </w:rPr>
    </w:pPr>
  </w:p>
  <w:p w14:paraId="778EDE24" w14:textId="77777777" w:rsidR="00AA549E" w:rsidRDefault="00AA549E" w:rsidP="000261A1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04"/>
    <w:multiLevelType w:val="hybridMultilevel"/>
    <w:tmpl w:val="DF708EBC"/>
    <w:lvl w:ilvl="0" w:tplc="81BC6EAA">
      <w:numFmt w:val="bullet"/>
      <w:lvlText w:val="•"/>
      <w:lvlJc w:val="left"/>
      <w:pPr>
        <w:ind w:left="132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1" w15:restartNumberingAfterBreak="0">
    <w:nsid w:val="2A6472AB"/>
    <w:multiLevelType w:val="hybridMultilevel"/>
    <w:tmpl w:val="8F3C7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9CD"/>
    <w:multiLevelType w:val="hybridMultilevel"/>
    <w:tmpl w:val="0B4E1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F4F84"/>
    <w:multiLevelType w:val="hybridMultilevel"/>
    <w:tmpl w:val="10B2E12E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5AAE"/>
    <w:multiLevelType w:val="hybridMultilevel"/>
    <w:tmpl w:val="2EAC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52A1"/>
    <w:multiLevelType w:val="hybridMultilevel"/>
    <w:tmpl w:val="84FE9040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2BE5"/>
    <w:multiLevelType w:val="hybridMultilevel"/>
    <w:tmpl w:val="63CE6E96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012E8C"/>
    <w:rsid w:val="000261A1"/>
    <w:rsid w:val="00040EEA"/>
    <w:rsid w:val="000A508B"/>
    <w:rsid w:val="000C42B5"/>
    <w:rsid w:val="00130DF2"/>
    <w:rsid w:val="0014466A"/>
    <w:rsid w:val="001911FE"/>
    <w:rsid w:val="001B1A5A"/>
    <w:rsid w:val="001C0E0D"/>
    <w:rsid w:val="001C3601"/>
    <w:rsid w:val="001E70A4"/>
    <w:rsid w:val="00231FEF"/>
    <w:rsid w:val="002A5523"/>
    <w:rsid w:val="002C62CB"/>
    <w:rsid w:val="002C7C75"/>
    <w:rsid w:val="002D2972"/>
    <w:rsid w:val="003068D3"/>
    <w:rsid w:val="003B1EB2"/>
    <w:rsid w:val="004937EA"/>
    <w:rsid w:val="00507292"/>
    <w:rsid w:val="0052732B"/>
    <w:rsid w:val="0056620E"/>
    <w:rsid w:val="005A2737"/>
    <w:rsid w:val="005A7DE6"/>
    <w:rsid w:val="005C0FA9"/>
    <w:rsid w:val="005F4384"/>
    <w:rsid w:val="006414B0"/>
    <w:rsid w:val="00667BA9"/>
    <w:rsid w:val="0071487A"/>
    <w:rsid w:val="0071610D"/>
    <w:rsid w:val="00745088"/>
    <w:rsid w:val="00770BCB"/>
    <w:rsid w:val="00791058"/>
    <w:rsid w:val="008319F5"/>
    <w:rsid w:val="008347EA"/>
    <w:rsid w:val="008542A1"/>
    <w:rsid w:val="008609AA"/>
    <w:rsid w:val="00880D33"/>
    <w:rsid w:val="008A45D0"/>
    <w:rsid w:val="008B72FE"/>
    <w:rsid w:val="008C6E8F"/>
    <w:rsid w:val="008F6425"/>
    <w:rsid w:val="00906760"/>
    <w:rsid w:val="00961848"/>
    <w:rsid w:val="0098312A"/>
    <w:rsid w:val="00997469"/>
    <w:rsid w:val="009C336B"/>
    <w:rsid w:val="00A40605"/>
    <w:rsid w:val="00A41158"/>
    <w:rsid w:val="00AA549E"/>
    <w:rsid w:val="00AB4E0D"/>
    <w:rsid w:val="00AB5428"/>
    <w:rsid w:val="00AC590C"/>
    <w:rsid w:val="00AC7C02"/>
    <w:rsid w:val="00B36A2E"/>
    <w:rsid w:val="00B51906"/>
    <w:rsid w:val="00BA2DA2"/>
    <w:rsid w:val="00BC1F32"/>
    <w:rsid w:val="00CC22E7"/>
    <w:rsid w:val="00CD3176"/>
    <w:rsid w:val="00D0342B"/>
    <w:rsid w:val="00DB6974"/>
    <w:rsid w:val="00DF54CA"/>
    <w:rsid w:val="00E164EA"/>
    <w:rsid w:val="00E42EC1"/>
    <w:rsid w:val="00E45CC1"/>
    <w:rsid w:val="00E55356"/>
    <w:rsid w:val="00E709B3"/>
    <w:rsid w:val="00EB65BA"/>
    <w:rsid w:val="00EC6102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B68E63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  <w:style w:type="paragraph" w:customStyle="1" w:styleId="Default">
    <w:name w:val="Default"/>
    <w:rsid w:val="00641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414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maintaining-records-of-staff-customers-and-visitors-to-support-nhs-test-and-tra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coronavirus-covid-19/symptom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se.gov.uk/news/working-safely-during-coronavirus-outbrea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news/coronavirus.ht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08EB-E1C9-0942-A1F0-363C7CA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3</cp:revision>
  <cp:lastPrinted>2019-09-09T10:43:00Z</cp:lastPrinted>
  <dcterms:created xsi:type="dcterms:W3CDTF">2020-07-14T10:01:00Z</dcterms:created>
  <dcterms:modified xsi:type="dcterms:W3CDTF">2020-07-14T15:02:00Z</dcterms:modified>
</cp:coreProperties>
</file>